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0" w:after="120"/>
      </w:pPr>
      <w:r>
        <w:t xml:space="preserve">Manual Penggunaan Dashboard AbelBirdnest</w:t>
      </w:r>
    </w:p>
    <w:p>
      <w:pPr>
        <w:pStyle w:val="Subtitle"/>
        <w:spacing w:before="0" w:after="60"/>
      </w:pPr>
      <w:r>
        <w:t xml:space="preserve">Versi dokumen: 17 Mei 2026</w:t>
      </w:r>
    </w:p>
    <w:p>
      <w:pPr>
        <w:spacing w:before="0" w:after="180"/>
      </w:pPr>
      <w:r>
        <w:t xml:space="preserve">Dokumen ini menjelaskan cara membaca dashboard operasional AbelBirdnest Stock, arti setiap panel, dan cara memakainya untuk pemantauan harian.</w:t>
      </w:r>
    </w:p>
    <w:p>
      <w:pPr>
        <w:pStyle w:val="Heading1"/>
        <w:spacing w:before="120" w:after="80"/>
      </w:pPr>
      <w:r>
        <w:t xml:space="preserve">1. Tujuan Dashboard</w:t>
      </w:r>
    </w:p>
    <w:p>
      <w:pPr>
        <w:spacing w:before="0" w:after="120"/>
      </w:pPr>
      <w:r>
        <w:t xml:space="preserve">Dashboard dipakai sebagai ringkasan cepat kondisi operasional. Halaman ini membantu pengguna melihat stok aktif, nilai pembelian bulan berjalan, tren pembelian dan penjualan, lot yang perlu perhatian, serta aktivitas terbaru tanpa harus membuka banyak menu satu per satu.</w:t>
      </w:r>
    </w:p>
    <w:p>
      <w:pPr>
        <w:pStyle w:val="Heading1"/>
        <w:spacing w:before="120" w:after="80"/>
      </w:pPr>
      <w:r>
        <w:t xml:space="preserve">2. Ringkasan Kartu Utama</w:t>
      </w:r>
    </w:p>
    <w:p>
      <w:pPr>
        <w:pStyle w:val="Normal"/>
        <w:numPr>
          <w:ilvl w:val="0"/>
          <w:numId w:val="1"/>
        </w:numPr>
        <w:spacing w:after="80"/>
      </w:pPr>
      <w:r>
        <w:t xml:space="preserve">Stok Aktif: total kuantitas lot yang masih tersedia dan berstatus aktif.</w:t>
      </w:r>
    </w:p>
    <w:p>
      <w:pPr>
        <w:pStyle w:val="Normal"/>
        <w:numPr>
          <w:ilvl w:val="0"/>
          <w:numId w:val="1"/>
        </w:numPr>
        <w:spacing w:after="80"/>
      </w:pPr>
      <w:r>
        <w:t xml:space="preserve">Nilai Pembelian Bulan Ini: total nominal pembelian yang sudah diajukan pada bulan berjalan.</w:t>
      </w:r>
    </w:p>
    <w:p>
      <w:pPr>
        <w:pStyle w:val="Normal"/>
        <w:numPr>
          <w:ilvl w:val="0"/>
          <w:numId w:val="1"/>
        </w:numPr>
        <w:spacing w:after="80"/>
      </w:pPr>
      <w:r>
        <w:t xml:space="preserve">Pembelian Bulan Ini: total kuantitas pembelian pada bulan berjalan.</w:t>
      </w:r>
    </w:p>
    <w:p>
      <w:pPr>
        <w:pStyle w:val="Normal"/>
        <w:numPr>
          <w:ilvl w:val="0"/>
          <w:numId w:val="1"/>
        </w:numPr>
        <w:spacing w:after="80"/>
      </w:pPr>
      <w:r>
        <w:t xml:space="preserve">Shrinkage 30 Hari: total penyusutan dari penyesuaian stok kategori shrinkage dalam 30 hari terakhir.</w:t>
      </w:r>
    </w:p>
    <w:p>
      <w:pPr>
        <w:pStyle w:val="Heading2"/>
        <w:spacing w:before="80" w:after="60"/>
      </w:pPr>
      <w:r>
        <w:t xml:space="preserve">Cara membaca kartu utama:</w:t>
      </w:r>
    </w:p>
    <w:p>
      <w:pPr>
        <w:pStyle w:val="Normal"/>
        <w:numPr>
          <w:ilvl w:val="0"/>
          <w:numId w:val="1"/>
        </w:numPr>
        <w:spacing w:after="80"/>
      </w:pPr>
      <w:r>
        <w:t xml:space="preserve">Lihat angka besar sebagai posisi saat ini.</w:t>
      </w:r>
    </w:p>
    <w:p>
      <w:pPr>
        <w:pStyle w:val="Normal"/>
        <w:numPr>
          <w:ilvl w:val="0"/>
          <w:numId w:val="1"/>
        </w:numPr>
        <w:spacing w:after="80"/>
      </w:pPr>
      <w:r>
        <w:t xml:space="preserve">Lihat teks kecil di bawahnya untuk konteks tambahan, misalnya jumlah lot aktif, jumlah gudang terisi, atau jumlah baris pembelian.</w:t>
      </w:r>
    </w:p>
    <w:p>
      <w:pPr>
        <w:pStyle w:val="Normal"/>
        <w:numPr>
          <w:ilvl w:val="0"/>
          <w:numId w:val="1"/>
        </w:numPr>
        <w:spacing w:after="80"/>
      </w:pPr>
      <w:r>
        <w:t xml:space="preserve">Gunakan empat kartu ini sebagai checkpoint harian sebelum masuk ke analisis detail.</w:t>
      </w:r>
    </w:p>
    <w:p>
      <w:pPr>
        <w:pStyle w:val="Heading1"/>
        <w:spacing w:before="120" w:after="80"/>
      </w:pPr>
      <w:r>
        <w:t xml:space="preserve">3. Grafik Tren Pembelian vs Penjualan</w:t>
      </w:r>
    </w:p>
    <w:p>
      <w:pPr>
        <w:spacing w:before="0" w:after="100"/>
      </w:pPr>
      <w:r>
        <w:t xml:space="preserve">Grafik batang menampilkan perbandingan kuantitas pembelian dan penjualan untuk enam bulan terakhir.</w:t>
      </w:r>
    </w:p>
    <w:p>
      <w:pPr>
        <w:pStyle w:val="Normal"/>
        <w:numPr>
          <w:ilvl w:val="0"/>
          <w:numId w:val="1"/>
        </w:numPr>
        <w:spacing w:after="80"/>
      </w:pPr>
      <w:r>
        <w:t xml:space="preserve">Batang abu-abu: pembelian.</w:t>
      </w:r>
    </w:p>
    <w:p>
      <w:pPr>
        <w:pStyle w:val="Normal"/>
        <w:numPr>
          <w:ilvl w:val="0"/>
          <w:numId w:val="1"/>
        </w:numPr>
        <w:spacing w:after="80"/>
      </w:pPr>
      <w:r>
        <w:t xml:space="preserve">Batang hijau: penjualan.</w:t>
      </w:r>
    </w:p>
    <w:p>
      <w:pPr>
        <w:pStyle w:val="Normal"/>
        <w:numPr>
          <w:ilvl w:val="0"/>
          <w:numId w:val="1"/>
        </w:numPr>
        <w:spacing w:after="80"/>
      </w:pPr>
      <w:r>
        <w:t xml:space="preserve">Label bulan di bagian bawah menunjukkan urutan waktu.</w:t>
      </w:r>
    </w:p>
    <w:p>
      <w:pPr>
        <w:pStyle w:val="Heading2"/>
        <w:spacing w:before="80" w:after="60"/>
      </w:pPr>
      <w:r>
        <w:t xml:space="preserve">Kegunaan grafik ini:</w:t>
      </w:r>
    </w:p>
    <w:p>
      <w:pPr>
        <w:pStyle w:val="Normal"/>
        <w:numPr>
          <w:ilvl w:val="0"/>
          <w:numId w:val="1"/>
        </w:numPr>
        <w:spacing w:after="80"/>
      </w:pPr>
      <w:r>
        <w:t xml:space="preserve">Melihat apakah penjualan sudah menyerap pembelian dengan baik.</w:t>
      </w:r>
    </w:p>
    <w:p>
      <w:pPr>
        <w:pStyle w:val="Normal"/>
        <w:numPr>
          <w:ilvl w:val="0"/>
          <w:numId w:val="1"/>
        </w:numPr>
        <w:spacing w:after="80"/>
      </w:pPr>
      <w:r>
        <w:t xml:space="preserve">Mendeteksi bulan dengan pembelian tinggi tetapi penjualan rendah.</w:t>
      </w:r>
    </w:p>
    <w:p>
      <w:pPr>
        <w:pStyle w:val="Normal"/>
        <w:numPr>
          <w:ilvl w:val="0"/>
          <w:numId w:val="1"/>
        </w:numPr>
        <w:spacing w:after="80"/>
      </w:pPr>
      <w:r>
        <w:t xml:space="preserve">Menjadi bahan diskusi untuk pembelian berikutnya dan pengaturan ritme stok.</w:t>
      </w:r>
    </w:p>
    <w:p>
      <w:pPr>
        <w:pStyle w:val="Heading1"/>
        <w:spacing w:before="120" w:after="80"/>
      </w:pPr>
      <w:r>
        <w:t xml:space="preserve">4. Tingkat Serap Penjualan</w:t>
      </w:r>
    </w:p>
    <w:p>
      <w:pPr>
        <w:spacing w:before="0" w:after="120"/>
      </w:pPr>
      <w:r>
        <w:t xml:space="preserve">Panel gelap di sisi kanan menunjukkan persentase penyerapan penjualan dalam enam bulan terakhir. Rumusnya adalah total qty penjualan dibagi total qty pembelian, lalu dikonversi menjadi persen.</w:t>
      </w:r>
    </w:p>
    <w:p>
      <w:pPr>
        <w:pStyle w:val="Normal"/>
        <w:numPr>
          <w:ilvl w:val="0"/>
          <w:numId w:val="1"/>
        </w:numPr>
        <w:spacing w:after="80"/>
      </w:pPr>
      <w:r>
        <w:t xml:space="preserve">Persentase tinggi berarti barang yang dibeli relatif cepat berubah menjadi penjualan.</w:t>
      </w:r>
    </w:p>
    <w:p>
      <w:pPr>
        <w:pStyle w:val="Normal"/>
        <w:numPr>
          <w:ilvl w:val="0"/>
          <w:numId w:val="1"/>
        </w:numPr>
        <w:spacing w:after="80"/>
      </w:pPr>
      <w:r>
        <w:t xml:space="preserve">Persentase rendah berarti stok cenderung menumpuk atau ritme penjualan belum seimbang.</w:t>
      </w:r>
    </w:p>
    <w:p>
      <w:pPr>
        <w:pStyle w:val="Normal"/>
        <w:numPr>
          <w:ilvl w:val="0"/>
          <w:numId w:val="1"/>
        </w:numPr>
        <w:spacing w:after="80"/>
      </w:pPr>
      <w:r>
        <w:t xml:space="preserve">Angka ini cocok dipakai owner dan purchasing untuk membaca efisiensi putaran stok.</w:t>
      </w:r>
    </w:p>
    <w:p>
      <w:r>
        <w:br w:type="page"/>
      </w:r>
    </w:p>
    <w:p>
      <w:pPr>
        <w:pStyle w:val="Heading1"/>
        <w:spacing w:before="120" w:after="80"/>
      </w:pPr>
      <w:r>
        <w:t xml:space="preserve">5. Distribusi Umur Lot</w:t>
      </w:r>
    </w:p>
    <w:p>
      <w:pPr>
        <w:spacing w:before="0" w:after="120"/>
      </w:pPr>
      <w:r>
        <w:t xml:space="preserve">Bagian ini membagi lot aktif ke dalam kelompok umur simpan, misalnya 0-30 hari, 31-60 hari, dan di atas 60 hari.</w:t>
      </w:r>
    </w:p>
    <w:p>
      <w:pPr>
        <w:pStyle w:val="Normal"/>
        <w:numPr>
          <w:ilvl w:val="0"/>
          <w:numId w:val="1"/>
        </w:numPr>
        <w:spacing w:after="80"/>
      </w:pPr>
      <w:r>
        <w:t xml:space="preserve">Batang dan persentase menunjukkan komposisi lot menurut umur.</w:t>
      </w:r>
    </w:p>
    <w:p>
      <w:pPr>
        <w:pStyle w:val="Normal"/>
        <w:numPr>
          <w:ilvl w:val="0"/>
          <w:numId w:val="1"/>
        </w:numPr>
        <w:spacing w:after="80"/>
      </w:pPr>
      <w:r>
        <w:t xml:space="preserve">Semakin besar porsi lot berumur tua, semakin besar kebutuhan evaluasi rotasi stok.</w:t>
      </w:r>
    </w:p>
    <w:p>
      <w:pPr>
        <w:pStyle w:val="Normal"/>
        <w:numPr>
          <w:ilvl w:val="0"/>
          <w:numId w:val="1"/>
        </w:numPr>
        <w:spacing w:after="80"/>
      </w:pPr>
      <w:r>
        <w:t xml:space="preserve">Panel ini membantu gudang, QC, dan owner memprioritaskan lot mana yang harus lebih dulu diperhatikan.</w:t>
      </w:r>
    </w:p>
    <w:p>
      <w:pPr>
        <w:pStyle w:val="Heading1"/>
        <w:spacing w:before="120" w:after="80"/>
      </w:pPr>
      <w:r>
        <w:t xml:space="preserve">6. Aktivitas Terbaru</w:t>
      </w:r>
    </w:p>
    <w:p>
      <w:pPr>
        <w:spacing w:before="0" w:after="120"/>
      </w:pPr>
      <w:r>
        <w:t xml:space="preserve">Aktivitas terbaru diambil dari jejak audit. Isinya menampilkan ringkasan perubahan atau transaksi yang baru terjadi.</w:t>
      </w:r>
    </w:p>
    <w:p>
      <w:pPr>
        <w:pStyle w:val="Normal"/>
        <w:numPr>
          <w:ilvl w:val="0"/>
          <w:numId w:val="1"/>
        </w:numPr>
        <w:spacing w:after="80"/>
      </w:pPr>
      <w:r>
        <w:t xml:space="preserve">Gunakan bagian ini untuk melihat kejadian operasional terakhir tanpa membuka menu audit trail.</w:t>
      </w:r>
    </w:p>
    <w:p>
      <w:pPr>
        <w:pStyle w:val="Normal"/>
        <w:numPr>
          <w:ilvl w:val="0"/>
          <w:numId w:val="1"/>
        </w:numPr>
        <w:spacing w:after="80"/>
      </w:pPr>
      <w:r>
        <w:t xml:space="preserve">Contohnya bisa berupa pembaruan setting, pembuatan transaksi, penyelesaian pencucian, atau perubahan master data.</w:t>
      </w:r>
    </w:p>
    <w:p>
      <w:pPr>
        <w:pStyle w:val="Normal"/>
        <w:numPr>
          <w:ilvl w:val="0"/>
          <w:numId w:val="1"/>
        </w:numPr>
        <w:spacing w:after="80"/>
      </w:pPr>
      <w:r>
        <w:t xml:space="preserve">Jika ada aktivitas yang terlihat tidak biasa, buka menu terkait untuk memeriksa detailnya.</w:t>
      </w:r>
    </w:p>
    <w:p>
      <w:pPr>
        <w:pStyle w:val="Heading1"/>
        <w:spacing w:before="120" w:after="80"/>
      </w:pPr>
      <w:r>
        <w:t xml:space="preserve">7. Lot Perlu Perhatian</w:t>
      </w:r>
    </w:p>
    <w:p>
      <w:pPr>
        <w:spacing w:before="0" w:after="120"/>
      </w:pPr>
      <w:r>
        <w:t xml:space="preserve">Tabel lot perlu perhatian menampilkan lot yang butuh tindak lanjut operasional. Ini bukan sekadar status lot mentah, tetapi hasil evaluasi dashboard.</w:t>
      </w:r>
    </w:p>
    <w:p>
      <w:pPr>
        <w:pStyle w:val="Normal"/>
        <w:numPr>
          <w:ilvl w:val="0"/>
          <w:numId w:val="1"/>
        </w:numPr>
        <w:spacing w:after="80"/>
      </w:pPr>
      <w:r>
        <w:t xml:space="preserve">Stok Rendah: qty tersedia kecil dan perlu dipantau.</w:t>
      </w:r>
    </w:p>
    <w:p>
      <w:pPr>
        <w:pStyle w:val="Normal"/>
        <w:numPr>
          <w:ilvl w:val="0"/>
          <w:numId w:val="1"/>
        </w:numPr>
        <w:spacing w:after="80"/>
      </w:pPr>
      <w:r>
        <w:t xml:space="preserve">Usia Tinggi: lot sudah terlalu lama berada di stok.</w:t>
      </w:r>
    </w:p>
    <w:p>
      <w:pPr>
        <w:pStyle w:val="Normal"/>
        <w:numPr>
          <w:ilvl w:val="0"/>
          <w:numId w:val="1"/>
        </w:numPr>
        <w:spacing w:after="80"/>
      </w:pPr>
      <w:r>
        <w:t xml:space="preserve">Ditahan: lot sedang hold dan perlu tindakan lanjutan.</w:t>
      </w:r>
    </w:p>
    <w:p>
      <w:pPr>
        <w:pStyle w:val="Heading2"/>
        <w:spacing w:before="80" w:after="60"/>
      </w:pPr>
      <w:r>
        <w:t xml:space="preserve">Kolom yang perlu dibaca:</w:t>
      </w:r>
    </w:p>
    <w:p>
      <w:pPr>
        <w:pStyle w:val="Normal"/>
        <w:numPr>
          <w:ilvl w:val="0"/>
          <w:numId w:val="1"/>
        </w:numPr>
        <w:spacing w:after="80"/>
      </w:pPr>
      <w:r>
        <w:t xml:space="preserve">Lot Code: kode lot untuk ditelusuri.</w:t>
      </w:r>
    </w:p>
    <w:p>
      <w:pPr>
        <w:pStyle w:val="Normal"/>
        <w:numPr>
          <w:ilvl w:val="0"/>
          <w:numId w:val="1"/>
        </w:numPr>
        <w:spacing w:after="80"/>
      </w:pPr>
      <w:r>
        <w:t xml:space="preserve">Agen: sumber pembelian atau pihak terkait lot.</w:t>
      </w:r>
    </w:p>
    <w:p>
      <w:pPr>
        <w:pStyle w:val="Normal"/>
        <w:numPr>
          <w:ilvl w:val="0"/>
          <w:numId w:val="1"/>
        </w:numPr>
        <w:spacing w:after="80"/>
      </w:pPr>
      <w:r>
        <w:t xml:space="preserve">Item: grade atau jenis barang.</w:t>
      </w:r>
    </w:p>
    <w:p>
      <w:pPr>
        <w:pStyle w:val="Normal"/>
        <w:numPr>
          <w:ilvl w:val="0"/>
          <w:numId w:val="1"/>
        </w:numPr>
        <w:spacing w:after="80"/>
      </w:pPr>
      <w:r>
        <w:t xml:space="preserve">Qty Tersedia: sisa stok saat ini.</w:t>
      </w:r>
    </w:p>
    <w:p>
      <w:pPr>
        <w:pStyle w:val="Normal"/>
        <w:numPr>
          <w:ilvl w:val="0"/>
          <w:numId w:val="1"/>
        </w:numPr>
        <w:spacing w:after="80"/>
      </w:pPr>
      <w:r>
        <w:t xml:space="preserve">Alasan: penjelasan kenapa lot masuk daftar perhatian.</w:t>
      </w:r>
    </w:p>
    <w:p>
      <w:pPr>
        <w:pStyle w:val="Normal"/>
        <w:numPr>
          <w:ilvl w:val="0"/>
          <w:numId w:val="1"/>
        </w:numPr>
        <w:spacing w:after="80"/>
      </w:pPr>
      <w:r>
        <w:t xml:space="preserve">Status: label perhatian yang memudahkan prioritas.</w:t>
      </w:r>
    </w:p>
    <w:p>
      <w:pPr>
        <w:spacing w:before="0" w:after="120"/>
      </w:pPr>
      <w:r>
        <w:t xml:space="preserve">Gunakan tombol Detail untuk membuka lot dan melihat histori, lokasi, atau tindak lanjut yang diperlukan.</w:t>
      </w:r>
    </w:p>
    <w:p>
      <w:pPr>
        <w:pStyle w:val="Heading1"/>
        <w:spacing w:before="120" w:after="80"/>
      </w:pPr>
      <w:r>
        <w:t xml:space="preserve">8. Top Partners</w:t>
      </w:r>
    </w:p>
    <w:p>
      <w:pPr>
        <w:spacing w:before="0" w:after="120"/>
      </w:pPr>
      <w:r>
        <w:t xml:space="preserve">Bagian ini merangkum partner utama berdasarkan lot dan kuantitas stok yang masih berhubungan dengan mereka.</w:t>
      </w:r>
    </w:p>
    <w:p>
      <w:pPr>
        <w:pStyle w:val="Normal"/>
        <w:numPr>
          <w:ilvl w:val="0"/>
          <w:numId w:val="1"/>
        </w:numPr>
        <w:spacing w:after="80"/>
      </w:pPr>
      <w:r>
        <w:t xml:space="preserve">Nama partner ditampilkan bersama jumlah lot dan total kuantitas.</w:t>
      </w:r>
    </w:p>
    <w:p>
      <w:pPr>
        <w:pStyle w:val="Normal"/>
        <w:numPr>
          <w:ilvl w:val="0"/>
          <w:numId w:val="1"/>
        </w:numPr>
        <w:spacing w:after="80"/>
      </w:pPr>
      <w:r>
        <w:t xml:space="preserve">Nilai di sisi kanan menunjukkan nilai persediaan partner tersebut.</w:t>
      </w:r>
    </w:p>
    <w:p>
      <w:pPr>
        <w:pStyle w:val="Normal"/>
        <w:numPr>
          <w:ilvl w:val="0"/>
          <w:numId w:val="1"/>
        </w:numPr>
        <w:spacing w:after="80"/>
      </w:pPr>
      <w:r>
        <w:t xml:space="preserve">Panel ini membantu owner atau purchasing melihat konsentrasi stok pada partner tertentu.</w:t>
      </w:r>
    </w:p>
    <w:p>
      <w:pPr>
        <w:pStyle w:val="Heading1"/>
        <w:spacing w:before="120" w:after="80"/>
      </w:pPr>
      <w:r>
        <w:t xml:space="preserve">9. Aksi Cepat</w:t>
      </w:r>
    </w:p>
    <w:p>
      <w:pPr>
        <w:spacing w:before="0" w:after="120"/>
      </w:pPr>
      <w:r>
        <w:t xml:space="preserve">Aksi cepat adalah pintasan ke menu kerja yang paling sering dipakai.</w:t>
      </w:r>
    </w:p>
    <w:p>
      <w:pPr>
        <w:pStyle w:val="Normal"/>
        <w:numPr>
          <w:ilvl w:val="0"/>
          <w:numId w:val="1"/>
        </w:numPr>
        <w:spacing w:after="80"/>
      </w:pPr>
      <w:r>
        <w:t xml:space="preserve">Buat pembelian: untuk mulai entry pembelian baru.</w:t>
      </w:r>
    </w:p>
    <w:p>
      <w:pPr>
        <w:pStyle w:val="Normal"/>
        <w:numPr>
          <w:ilvl w:val="0"/>
          <w:numId w:val="1"/>
        </w:numPr>
        <w:spacing w:after="80"/>
      </w:pPr>
      <w:r>
        <w:t xml:space="preserve">Siapkan sales: untuk mengalokasikan lot ke transaksi penjualan.</w:t>
      </w:r>
    </w:p>
    <w:p>
      <w:pPr>
        <w:pStyle w:val="Normal"/>
        <w:numPr>
          <w:ilvl w:val="0"/>
          <w:numId w:val="1"/>
        </w:numPr>
        <w:spacing w:after="80"/>
      </w:pPr>
      <w:r>
        <w:t xml:space="preserve">Lihat trace lot: untuk audit pergerakan dan status lot.</w:t>
      </w:r>
    </w:p>
    <w:p>
      <w:pPr>
        <w:pStyle w:val="Heading1"/>
        <w:spacing w:before="120" w:after="80"/>
      </w:pPr>
      <w:r>
        <w:t xml:space="preserve">10. Cara Pakai Dashboard Secara Harian</w:t>
      </w:r>
    </w:p>
    <w:p>
      <w:pPr>
        <w:pStyle w:val="Normal"/>
        <w:numPr>
          <w:ilvl w:val="0"/>
          <w:numId w:val="1"/>
        </w:numPr>
        <w:spacing w:after="80"/>
      </w:pPr>
      <w:r>
        <w:t xml:space="preserve">Pagi hari: cek empat kartu utama untuk memahami posisi stok, pembelian, dan shrinkage.</w:t>
      </w:r>
    </w:p>
    <w:p>
      <w:pPr>
        <w:pStyle w:val="Normal"/>
        <w:numPr>
          <w:ilvl w:val="0"/>
          <w:numId w:val="1"/>
        </w:numPr>
        <w:spacing w:after="80"/>
      </w:pPr>
      <w:r>
        <w:t xml:space="preserve">Lihat grafik tren dan tingkat serap untuk memastikan pembelian masih seimbang dengan penjualan.</w:t>
      </w:r>
    </w:p>
    <w:p>
      <w:pPr>
        <w:pStyle w:val="Normal"/>
        <w:numPr>
          <w:ilvl w:val="0"/>
          <w:numId w:val="1"/>
        </w:numPr>
        <w:spacing w:after="80"/>
      </w:pPr>
      <w:r>
        <w:t xml:space="preserve">Periksa lot perlu perhatian, lalu delegasikan tindak lanjut ke gudang atau QC.</w:t>
      </w:r>
    </w:p>
    <w:p>
      <w:pPr>
        <w:pStyle w:val="Normal"/>
        <w:numPr>
          <w:ilvl w:val="0"/>
          <w:numId w:val="1"/>
        </w:numPr>
        <w:spacing w:after="80"/>
      </w:pPr>
      <w:r>
        <w:t xml:space="preserve">Lihat aktivitas terbaru untuk memastikan tidak ada kejadian penting yang terlewat.</w:t>
      </w:r>
    </w:p>
    <w:p>
      <w:pPr>
        <w:pStyle w:val="Normal"/>
        <w:numPr>
          <w:ilvl w:val="0"/>
          <w:numId w:val="1"/>
        </w:numPr>
        <w:spacing w:after="80"/>
      </w:pPr>
      <w:r>
        <w:t xml:space="preserve">Gunakan aksi cepat untuk masuk ke modul kerja tanpa kembali ke sidebar.</w:t>
      </w:r>
    </w:p>
    <w:p>
      <w:pPr>
        <w:pStyle w:val="Heading1"/>
        <w:spacing w:before="120" w:after="80"/>
      </w:pPr>
      <w:r>
        <w:t xml:space="preserve">11. Batasan Pembacaan Dashboard</w:t>
      </w:r>
    </w:p>
    <w:p>
      <w:pPr>
        <w:pStyle w:val="Normal"/>
        <w:numPr>
          <w:ilvl w:val="0"/>
          <w:numId w:val="1"/>
        </w:numPr>
        <w:spacing w:after="80"/>
      </w:pPr>
      <w:r>
        <w:t xml:space="preserve">Dashboard adalah ringkasan. Untuk keputusan detail, tetap buka modul asal seperti pembelian, lot, penyesuaian stok, atau penjualan.</w:t>
      </w:r>
    </w:p>
    <w:p>
      <w:pPr>
        <w:pStyle w:val="Normal"/>
        <w:numPr>
          <w:ilvl w:val="0"/>
          <w:numId w:val="1"/>
        </w:numPr>
        <w:spacing w:after="80"/>
      </w:pPr>
      <w:r>
        <w:t xml:space="preserve">Beberapa angka dihitung dari transaksi yang sudah masuk ke sistem. Jika input transaksi tertunda, dashboard ikut terlambat mencerminkan kondisi lapangan.</w:t>
      </w:r>
    </w:p>
    <w:p>
      <w:pPr>
        <w:pStyle w:val="Normal"/>
        <w:numPr>
          <w:ilvl w:val="0"/>
          <w:numId w:val="1"/>
        </w:numPr>
        <w:spacing w:after="80"/>
      </w:pPr>
      <w:r>
        <w:t xml:space="preserve">Status perhatian lot dibuat dari aturan dashboard, jadi perlu dibaca bersama konteks operasional sebenarnya.</w:t>
      </w:r>
    </w:p>
    <w:p>
      <w:pPr>
        <w:pStyle w:val="Heading1"/>
        <w:spacing w:before="120" w:after="80"/>
      </w:pPr>
      <w:r>
        <w:t xml:space="preserve">12. Rekomendasi Penggunaan per Role</w:t>
      </w:r>
    </w:p>
    <w:p>
      <w:pPr>
        <w:pStyle w:val="Normal"/>
        <w:numPr>
          <w:ilvl w:val="0"/>
          <w:numId w:val="1"/>
        </w:numPr>
        <w:spacing w:after="80"/>
      </w:pPr>
      <w:r>
        <w:t xml:space="preserve">Owner: fokus pada tren, serapan penjualan, top partners, dan lot perhatian.</w:t>
      </w:r>
    </w:p>
    <w:p>
      <w:pPr>
        <w:pStyle w:val="Normal"/>
        <w:numPr>
          <w:ilvl w:val="0"/>
          <w:numId w:val="1"/>
        </w:numPr>
        <w:spacing w:after="80"/>
      </w:pPr>
      <w:r>
        <w:t xml:space="preserve">Purchasing: fokus pada pembelian bulan ini, tren pembelian vs penjualan, dan top partners.</w:t>
      </w:r>
    </w:p>
    <w:p>
      <w:pPr>
        <w:pStyle w:val="Normal"/>
        <w:numPr>
          <w:ilvl w:val="0"/>
          <w:numId w:val="1"/>
        </w:numPr>
        <w:spacing w:after="80"/>
      </w:pPr>
      <w:r>
        <w:t xml:space="preserve">Warehouse: fokus pada stok aktif, lot perhatian, dan aktivitas terbaru.</w:t>
      </w:r>
    </w:p>
    <w:p>
      <w:pPr>
        <w:pStyle w:val="Normal"/>
        <w:numPr>
          <w:ilvl w:val="0"/>
          <w:numId w:val="1"/>
        </w:numPr>
        <w:spacing w:after="80"/>
      </w:pPr>
      <w:r>
        <w:t xml:space="preserve">QC: fokus pada lot perhatian dan distribusi umur lot.</w:t>
      </w:r>
    </w:p>
    <w:p>
      <w:pPr>
        <w:pStyle w:val="Normal"/>
        <w:numPr>
          <w:ilvl w:val="0"/>
          <w:numId w:val="1"/>
        </w:numPr>
        <w:spacing w:after="80"/>
      </w:pPr>
      <w:r>
        <w:t xml:space="preserve">Sales: fokus pada tren penjualan, top partners, dan kesiapan stok dari lot yang masih aktif.</w:t>
      </w:r>
    </w:p>
    <w:p>
      <w:pPr>
        <w:pStyle w:val="Heading1"/>
        <w:spacing w:before="120" w:after="80"/>
      </w:pPr>
      <w:r>
        <w:t xml:space="preserve">13. Penutup</w:t>
      </w:r>
    </w:p>
    <w:p>
      <w:pPr>
        <w:spacing w:before="0" w:after="180"/>
      </w:pPr>
      <w:r>
        <w:t xml:space="preserve">Jika dashboard menunjukkan angka yang tidak sesuai dugaan, lakukan pengecekan berurutan: buka modul transaksi asal, cek data master yang terkait, lalu periksa jejak audit jika diperlukan. Dengan pola ini, dashboard berfungsi sebagai alat baca cepat, sementara investigasi detail tetap dilakukan di menu operasional masing-masing.</w:t>
      </w:r>
    </w:p>
    <w:p>
      <w:pPr>
        <w:pStyle w:val="Subtitle"/>
        <w:spacing w:before="0" w:after="0"/>
      </w:pPr>
      <w:r>
        <w:t xml:space="preserve">© 2026 AbelBirdnest</w:t>
      </w:r>
    </w:p>
    <w:sectPr>
      <w:pgSz w:w="12240" w:h="15840"/>
      <w:pgMar w:top="1440" w:right="1440" w:bottom="1440" w:left="1440" w:header="720" w:footer="720" w:gutter="0"/>
    </w:sectPr>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abstractNum>
  <w:num w:numId="1">
    <w:abstractNumId w:val="0"/>
  </w:num>
</w:numbering>
</file>

<file path=word/styles.xml><?xml version="1.0" encoding="utf-8"?>
<w:styles xmlns:w="http://schemas.openxmlformats.org/wordprocessingml/2006/main">
  <w:docDefaults>
    <w:rPrDefault>
      <w:rPr>
        <w:rFonts w:ascii="Arial" w:hAnsi="Arial"/>
        <w:sz w:val="22"/>
      </w:rPr>
    </w:rPrDefault>
    <w:pPrDefault>
      <w:pPr>
        <w:spacing w:after="120"/>
      </w:pPr>
    </w:pPrDefault>
  </w:docDefaults>
  <w:style w:type="paragraph" w:default="1" w:styleId="Normal">
    <w:name w:val="Normal"/>
    <w:qFormat/>
  </w:style>
  <w:style w:type="paragraph" w:styleId="Title">
    <w:name w:val="Title"/>
    <w:basedOn w:val="Normal"/>
    <w:qFormat/>
    <w:pPr>
      <w:spacing w:after="180"/>
    </w:pPr>
    <w:rPr>
      <w:b/>
      <w:color w:val="163C46"/>
      <w:sz w:val="34"/>
    </w:rPr>
  </w:style>
  <w:style w:type="paragraph" w:styleId="Subtitle">
    <w:name w:val="Subtitle"/>
    <w:basedOn w:val="Normal"/>
    <w:qFormat/>
    <w:rPr>
      <w:color w:val="666666"/>
      <w:sz w:val="20"/>
    </w:rPr>
  </w:style>
  <w:style w:type="paragraph" w:styleId="Heading1">
    <w:name w:val="heading 1"/>
    <w:basedOn w:val="Normal"/>
    <w:next w:val="Normal"/>
    <w:uiPriority w:val="9"/>
    <w:qFormat/>
    <w:pPr>
      <w:keepNext/>
      <w:spacing w:before="160" w:after="80"/>
    </w:pPr>
    <w:rPr>
      <w:b/>
      <w:color w:val="163C46"/>
      <w:sz w:val="28"/>
    </w:rPr>
  </w:style>
  <w:style w:type="paragraph" w:styleId="Heading2">
    <w:name w:val="heading 2"/>
    <w:basedOn w:val="Normal"/>
    <w:next w:val="Normal"/>
    <w:uiPriority w:val="9"/>
    <w:qFormat/>
    <w:pPr>
      <w:keepNext/>
      <w:spacing w:before="120" w:after="60"/>
    </w:pPr>
    <w:rPr>
      <w:b/>
      <w:color w:val="2A5962"/>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Penggunaan Dashboard AbelBirdnest</dc:title>
  <dc:creator>OpenAI Codex</dc:creator>
  <cp:lastModifiedBy>OpenAI Codex</cp:lastModifiedBy>
  <dcterms:created xsi:type="dcterms:W3CDTF">2026-05-16T23:43:39+00:00</dcterms:created>
  <dcterms:modified xsi:type="dcterms:W3CDTF">2026-05-16T23:43:39+00:00</dcterms:modified>
</cp:coreProperties>
</file>